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 w:lineRule="exact"/>
        <w:rPr>
          <w:rFonts w:asciiTheme="minorEastAsia" w:hAnsiTheme="minorEastAsia" w:cstheme="minorEastAsia"/>
          <w:sz w:val="24"/>
          <w:szCs w:val="24"/>
        </w:rPr>
      </w:pPr>
      <w:bookmarkStart w:id="0" w:name="page1"/>
      <w:bookmarkEnd w:id="0"/>
    </w:p>
    <w:p>
      <w:pPr>
        <w:spacing w:line="360" w:lineRule="auto"/>
        <w:ind w:left="360" w:right="366"/>
        <w:jc w:val="center"/>
        <w:rPr>
          <w:rFonts w:ascii="黑体" w:hAnsi="黑体" w:eastAsia="黑体" w:cstheme="minorEastAsia"/>
          <w:b/>
          <w:bCs/>
          <w:sz w:val="28"/>
          <w:szCs w:val="28"/>
        </w:rPr>
      </w:pPr>
      <w:r>
        <w:rPr>
          <w:rFonts w:hint="eastAsia" w:ascii="黑体" w:hAnsi="黑体" w:eastAsia="黑体" w:cstheme="minorEastAsia"/>
          <w:b/>
          <w:bCs/>
          <w:sz w:val="28"/>
          <w:szCs w:val="28"/>
        </w:rPr>
        <w:t>浙江工商大学统计与数学学院2016级本科毕业实习替代方案</w:t>
      </w:r>
    </w:p>
    <w:p>
      <w:pPr>
        <w:spacing w:line="360" w:lineRule="auto"/>
        <w:ind w:right="366" w:firstLine="480" w:firstLineChars="200"/>
        <w:jc w:val="both"/>
        <w:rPr>
          <w:rFonts w:asciiTheme="minorEastAsia" w:hAnsiTheme="minorEastAsia" w:cstheme="minorEastAsia"/>
          <w:sz w:val="24"/>
          <w:szCs w:val="24"/>
        </w:rPr>
      </w:pPr>
      <w:r>
        <w:rPr>
          <w:rFonts w:hint="eastAsia" w:asciiTheme="minorEastAsia" w:hAnsiTheme="minorEastAsia" w:cstheme="minorEastAsia"/>
          <w:sz w:val="24"/>
          <w:szCs w:val="24"/>
        </w:rPr>
        <w:t>根据教育部《关于在疫情防控期间做好普通高校在线教学组织与管理工作的指导意见》（教高厅[2020]2 号）、浙江省教育厅《关于做好疫情防控期间普通高等学校教学组织与管理工作的通知》（浙教防控办函〔2020〕1 号）、浙江工商大学《2019-2020 学年第 2 学期延期开学教学工作实施方案》的要求，现对原定于本学期开展的2016级本科毕业实习进行调整，发布疫情防控期间的 2016 级本科毕业实习替代方案：</w:t>
      </w:r>
    </w:p>
    <w:p>
      <w:pPr>
        <w:spacing w:line="360" w:lineRule="auto"/>
        <w:ind w:right="369" w:firstLine="482" w:firstLineChars="200"/>
        <w:jc w:val="both"/>
        <w:rPr>
          <w:rFonts w:ascii="黑体" w:hAnsi="黑体" w:eastAsia="黑体" w:cstheme="minorEastAsia"/>
          <w:sz w:val="24"/>
          <w:szCs w:val="24"/>
        </w:rPr>
      </w:pPr>
      <w:r>
        <w:rPr>
          <w:rFonts w:hint="eastAsia" w:ascii="黑体" w:hAnsi="黑体" w:eastAsia="黑体" w:cstheme="minorEastAsia"/>
          <w:b/>
          <w:bCs/>
          <w:sz w:val="24"/>
          <w:szCs w:val="24"/>
        </w:rPr>
        <w:t>一、宗旨</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针对学校《2019-2020学年第2学期延期开学教学工作实施方案》对学生毕业实习的要求：“实习实训活动在疫情得到有效控制之前不组织开展。对于各类实习实训活动，实习学生在未得到明确通知前不得自行前往实习地。”学院为了贯彻执行学校的战疫部署，为有效避免毕业实习所引发的人员聚集，充分保障学生的身体健康，特制定疫情防控期间2016级本科毕业实习替代方案。</w:t>
      </w:r>
    </w:p>
    <w:p>
      <w:pPr>
        <w:spacing w:line="360" w:lineRule="auto"/>
        <w:ind w:right="369" w:firstLine="482" w:firstLineChars="200"/>
        <w:jc w:val="both"/>
        <w:rPr>
          <w:rFonts w:ascii="黑体" w:hAnsi="黑体" w:eastAsia="黑体" w:cstheme="minorEastAsia"/>
          <w:b/>
          <w:bCs/>
          <w:sz w:val="24"/>
          <w:szCs w:val="24"/>
        </w:rPr>
      </w:pPr>
      <w:r>
        <w:rPr>
          <w:rFonts w:hint="eastAsia" w:ascii="黑体" w:hAnsi="黑体" w:eastAsia="黑体" w:cstheme="minorEastAsia"/>
          <w:b/>
          <w:bCs/>
          <w:sz w:val="24"/>
          <w:szCs w:val="24"/>
        </w:rPr>
        <w:t>二、原则</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鉴于毕业实习是教学活动的重要组成部分，是实现理论联系实际、检验教学效果的重要途径，因此毕业实习替代方案的设计，将以提升学生理论知识和实践能力为实际，以期毕业实习替代方案能够在一定程度挥发毕业实习的实践效果，成为学生走上工作岗位前的实战练兵，为今后的工作积累经验。</w:t>
      </w:r>
    </w:p>
    <w:p>
      <w:pPr>
        <w:spacing w:line="360" w:lineRule="auto"/>
        <w:ind w:right="369" w:firstLine="482" w:firstLineChars="200"/>
        <w:jc w:val="both"/>
        <w:rPr>
          <w:rFonts w:ascii="黑体" w:hAnsi="黑体" w:eastAsia="黑体" w:cstheme="minorEastAsia"/>
          <w:b/>
          <w:bCs/>
          <w:sz w:val="24"/>
          <w:szCs w:val="24"/>
        </w:rPr>
      </w:pPr>
      <w:r>
        <w:rPr>
          <w:rFonts w:hint="eastAsia" w:ascii="黑体" w:hAnsi="黑体" w:eastAsia="黑体" w:cstheme="minorEastAsia"/>
          <w:b/>
          <w:bCs/>
          <w:sz w:val="24"/>
          <w:szCs w:val="24"/>
        </w:rPr>
        <w:t>三、方案</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针对已完成毕业实习的学生，参照统计与数学学院网站《关于本科生实习工作的通知》，在校友邦完成各项操作，提交</w:t>
      </w:r>
      <w:r>
        <w:rPr>
          <w:rFonts w:hint="eastAsia" w:asciiTheme="minorEastAsia" w:hAnsiTheme="minorEastAsia" w:cstheme="minorEastAsia"/>
          <w:sz w:val="24"/>
          <w:szCs w:val="24"/>
          <w:lang w:val="en-US" w:eastAsia="zh-CN"/>
        </w:rPr>
        <w:t>原《</w:t>
      </w:r>
      <w:r>
        <w:rPr>
          <w:rFonts w:hint="eastAsia" w:asciiTheme="minorEastAsia" w:hAnsiTheme="minorEastAsia" w:cstheme="minorEastAsia"/>
          <w:sz w:val="24"/>
          <w:szCs w:val="24"/>
        </w:rPr>
        <w:t>关于本科生实习工作的通知</w:t>
      </w: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t>要求内容；16级本科毕业生已完成的暑期社会实践可完全替代毕业实习，以提交的实习手册为准。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未完成毕业实习的学生，取消原定毕业实习计划，包括集中实习和分散实习。采用毕业实习替代方案，方案具体如下：</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sz w:val="24"/>
          <w:szCs w:val="24"/>
        </w:rPr>
        <w:t>方案一</w:t>
      </w:r>
      <w:r>
        <w:rPr>
          <w:rFonts w:hint="eastAsia" w:asciiTheme="minorEastAsia" w:hAnsiTheme="minorEastAsia" w:cstheme="minorEastAsia"/>
          <w:sz w:val="24"/>
          <w:szCs w:val="24"/>
        </w:rPr>
        <w:t>：开展毕业实习分组和校内导师，建议学生参与校内导师课题，完成一定的项目工作。具体实习要求由导师指定。实习结束后，学生提交课题研究成果</w:t>
      </w:r>
      <w:r>
        <w:rPr>
          <w:rFonts w:hint="eastAsia" w:asciiTheme="minorEastAsia" w:hAnsiTheme="minorEastAsia" w:cstheme="minorEastAsia"/>
          <w:sz w:val="24"/>
          <w:szCs w:val="24"/>
          <w:u w:val="single"/>
        </w:rPr>
        <w:t>（不能为毕业论文）</w:t>
      </w:r>
      <w:r>
        <w:rPr>
          <w:rFonts w:hint="eastAsia" w:asciiTheme="minorEastAsia" w:hAnsiTheme="minorEastAsia" w:cstheme="minorEastAsia"/>
          <w:sz w:val="24"/>
          <w:szCs w:val="24"/>
        </w:rPr>
        <w:t>以及不少于1000字的实习总结。</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sz w:val="24"/>
          <w:szCs w:val="24"/>
        </w:rPr>
        <w:t>方案二</w:t>
      </w:r>
      <w:r>
        <w:rPr>
          <w:rFonts w:hint="eastAsia" w:asciiTheme="minorEastAsia" w:hAnsiTheme="minorEastAsia" w:cstheme="minorEastAsia"/>
          <w:sz w:val="24"/>
          <w:szCs w:val="24"/>
        </w:rPr>
        <w:t>：组织学生进行线上校内实训，将原有的校内实训改为线上实施。选用适合学生居家参与的实训项目，安排实训导师，以直播、建群等方式对学生进行授课，指导学生完成实训内容。实习结束后，学生提交实训导师要求完成的任务以及不少于1000字的实习总结。</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sz w:val="24"/>
          <w:szCs w:val="24"/>
        </w:rPr>
        <w:t>方案三</w:t>
      </w:r>
      <w:r>
        <w:rPr>
          <w:rFonts w:hint="eastAsia" w:asciiTheme="minorEastAsia" w:hAnsiTheme="minorEastAsia" w:cstheme="minorEastAsia"/>
          <w:sz w:val="24"/>
          <w:szCs w:val="24"/>
        </w:rPr>
        <w:t>：鼓励学生设计问卷、开展问卷调查，调查内容可与疫情防控期间学生学习、教师工作、百姓生活、中小企业发展、其他经济社会发展等现象相关。实习结束后，学生提交问卷调查相关研究报告（8000字以上）。</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方案四：</w:t>
      </w:r>
      <w:r>
        <w:rPr>
          <w:rFonts w:hint="eastAsia" w:asciiTheme="minorEastAsia" w:hAnsiTheme="minorEastAsia" w:cstheme="minorEastAsia"/>
          <w:sz w:val="24"/>
          <w:szCs w:val="24"/>
        </w:rPr>
        <w:t xml:space="preserve"> 打算继续读研深造的学生，可阅读3-5本相关著作和先行研究论文，写一个5000字以上的读书报告及硕士阶段学习计划。</w:t>
      </w:r>
    </w:p>
    <w:p>
      <w:pPr>
        <w:spacing w:line="360" w:lineRule="auto"/>
        <w:ind w:right="366" w:firstLine="482" w:firstLineChars="200"/>
        <w:jc w:val="both"/>
        <w:rPr>
          <w:rFonts w:asciiTheme="minorEastAsia" w:hAnsiTheme="minorEastAsia" w:cstheme="minorEastAsia"/>
          <w:sz w:val="24"/>
          <w:szCs w:val="24"/>
        </w:rPr>
      </w:pPr>
      <w:r>
        <w:rPr>
          <w:rFonts w:hint="eastAsia" w:asciiTheme="minorEastAsia" w:hAnsiTheme="minorEastAsia" w:cstheme="minorEastAsia"/>
          <w:b/>
          <w:bCs/>
          <w:sz w:val="24"/>
          <w:szCs w:val="24"/>
          <w:lang w:val="en-US" w:eastAsia="zh-CN"/>
        </w:rPr>
        <w:t>各专业</w:t>
      </w:r>
      <w:r>
        <w:rPr>
          <w:rFonts w:hint="eastAsia" w:asciiTheme="minorEastAsia" w:hAnsiTheme="minorEastAsia" w:cstheme="minorEastAsia"/>
          <w:b/>
          <w:bCs/>
          <w:sz w:val="24"/>
          <w:szCs w:val="24"/>
        </w:rPr>
        <w:t>可</w:t>
      </w:r>
      <w:r>
        <w:rPr>
          <w:rFonts w:hint="eastAsia" w:asciiTheme="minorEastAsia" w:hAnsiTheme="minorEastAsia" w:cstheme="minorEastAsia"/>
          <w:b/>
          <w:bCs/>
          <w:sz w:val="24"/>
          <w:szCs w:val="24"/>
          <w:lang w:val="en-US" w:eastAsia="zh-CN"/>
        </w:rPr>
        <w:t>在以上方案基础上，结合本专业毕业实习学分要求，提出具体实施计划，学生</w:t>
      </w:r>
      <w:r>
        <w:rPr>
          <w:rFonts w:hint="eastAsia" w:asciiTheme="minorEastAsia" w:hAnsiTheme="minorEastAsia" w:cstheme="minorEastAsia"/>
          <w:b/>
          <w:bCs/>
          <w:sz w:val="24"/>
          <w:szCs w:val="24"/>
        </w:rPr>
        <w:t>任选其中一个执行。</w:t>
      </w:r>
      <w:r>
        <w:rPr>
          <w:rFonts w:hint="eastAsia" w:asciiTheme="minorEastAsia" w:hAnsiTheme="minorEastAsia" w:cstheme="minorEastAsia"/>
          <w:sz w:val="24"/>
          <w:szCs w:val="24"/>
        </w:rPr>
        <w:t>2020年5月10日前电子版文档以学生“学号+姓名”格式命名，以班级为单位发送至各专</w:t>
      </w:r>
      <w:bookmarkStart w:id="1" w:name="_GoBack"/>
      <w:bookmarkEnd w:id="1"/>
      <w:r>
        <w:rPr>
          <w:rFonts w:hint="eastAsia" w:asciiTheme="minorEastAsia" w:hAnsiTheme="minorEastAsia" w:cstheme="minorEastAsia"/>
          <w:sz w:val="24"/>
          <w:szCs w:val="24"/>
        </w:rPr>
        <w:t>业的负责人处；纸质版文档按照各班名单顺序依次排序，由班委统一交至教学管理办公室。5月15日前各专业完成成绩评定，该成绩作为毕业实习成绩。</w:t>
      </w:r>
    </w:p>
    <w:p>
      <w:pPr>
        <w:spacing w:line="360" w:lineRule="auto"/>
        <w:ind w:firstLine="2640" w:firstLineChars="1100"/>
        <w:jc w:val="right"/>
        <w:rPr>
          <w:rFonts w:asciiTheme="minorEastAsia" w:hAnsiTheme="minorEastAsia" w:cstheme="minorEastAsia"/>
          <w:sz w:val="24"/>
          <w:szCs w:val="24"/>
        </w:rPr>
      </w:pPr>
    </w:p>
    <w:p>
      <w:pPr>
        <w:spacing w:line="360" w:lineRule="auto"/>
        <w:ind w:firstLine="2640" w:firstLineChars="1100"/>
        <w:jc w:val="right"/>
        <w:rPr>
          <w:rFonts w:asciiTheme="minorEastAsia" w:hAnsiTheme="minorEastAsia" w:cstheme="minorEastAsia"/>
          <w:sz w:val="24"/>
          <w:szCs w:val="24"/>
        </w:rPr>
      </w:pPr>
    </w:p>
    <w:p>
      <w:pPr>
        <w:spacing w:line="360" w:lineRule="auto"/>
        <w:ind w:firstLine="2640" w:firstLineChars="1100"/>
        <w:jc w:val="right"/>
        <w:rPr>
          <w:rFonts w:asciiTheme="minorEastAsia" w:hAnsiTheme="minorEastAsia" w:cstheme="minorEastAsia"/>
          <w:sz w:val="24"/>
          <w:szCs w:val="24"/>
        </w:rPr>
      </w:pPr>
    </w:p>
    <w:p>
      <w:pPr>
        <w:spacing w:line="360" w:lineRule="auto"/>
        <w:ind w:right="372" w:rightChars="169" w:firstLine="2640" w:firstLineChars="1100"/>
        <w:jc w:val="right"/>
        <w:rPr>
          <w:rFonts w:asciiTheme="minorEastAsia" w:hAnsiTheme="minorEastAsia" w:cstheme="minorEastAsia"/>
          <w:sz w:val="24"/>
          <w:szCs w:val="24"/>
        </w:rPr>
      </w:pPr>
      <w:r>
        <w:rPr>
          <w:rFonts w:hint="eastAsia" w:asciiTheme="minorEastAsia" w:hAnsiTheme="minorEastAsia" w:cstheme="minorEastAsia"/>
          <w:sz w:val="24"/>
          <w:szCs w:val="24"/>
        </w:rPr>
        <w:t>统计与数学学院</w:t>
      </w:r>
    </w:p>
    <w:p>
      <w:pPr>
        <w:spacing w:line="360" w:lineRule="auto"/>
        <w:ind w:left="5900" w:right="231" w:rightChars="105"/>
        <w:jc w:val="right"/>
        <w:rPr>
          <w:rFonts w:asciiTheme="minorEastAsia" w:hAnsiTheme="minorEastAsia" w:cstheme="minorEastAsia"/>
          <w:sz w:val="24"/>
          <w:szCs w:val="24"/>
        </w:rPr>
      </w:pPr>
      <w:r>
        <w:rPr>
          <w:rFonts w:hint="eastAsia" w:asciiTheme="minorEastAsia" w:hAnsiTheme="minorEastAsia" w:cstheme="minorEastAsia"/>
          <w:sz w:val="24"/>
          <w:szCs w:val="24"/>
        </w:rPr>
        <w:t>2020年3月10日</w:t>
      </w:r>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4C"/>
    <w:rsid w:val="000D5088"/>
    <w:rsid w:val="0043123B"/>
    <w:rsid w:val="005F1696"/>
    <w:rsid w:val="00613B58"/>
    <w:rsid w:val="0066241D"/>
    <w:rsid w:val="00687F10"/>
    <w:rsid w:val="006D017A"/>
    <w:rsid w:val="007A0B8A"/>
    <w:rsid w:val="00800B14"/>
    <w:rsid w:val="009F1B4C"/>
    <w:rsid w:val="00A01A75"/>
    <w:rsid w:val="00EB51F0"/>
    <w:rsid w:val="00FB35D1"/>
    <w:rsid w:val="0635368D"/>
    <w:rsid w:val="07774161"/>
    <w:rsid w:val="0A9E44E7"/>
    <w:rsid w:val="0C473EC7"/>
    <w:rsid w:val="14AF19FF"/>
    <w:rsid w:val="157936CD"/>
    <w:rsid w:val="2A15511E"/>
    <w:rsid w:val="303005E1"/>
    <w:rsid w:val="31D24D31"/>
    <w:rsid w:val="3A3127FC"/>
    <w:rsid w:val="3C1250BE"/>
    <w:rsid w:val="4BF72F6B"/>
    <w:rsid w:val="55326E74"/>
    <w:rsid w:val="64415BFB"/>
    <w:rsid w:val="6FFC185F"/>
    <w:rsid w:val="751F1DC0"/>
    <w:rsid w:val="75B80BB5"/>
    <w:rsid w:val="76077EAA"/>
    <w:rsid w:val="7910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customStyle="1" w:styleId="8">
    <w:name w:val="页眉 字符"/>
    <w:basedOn w:val="5"/>
    <w:link w:val="4"/>
    <w:qFormat/>
    <w:uiPriority w:val="99"/>
    <w:rPr>
      <w:rFonts w:eastAsiaTheme="minorEastAsia"/>
      <w:sz w:val="18"/>
      <w:szCs w:val="18"/>
    </w:rPr>
  </w:style>
  <w:style w:type="character" w:customStyle="1" w:styleId="9">
    <w:name w:val="页脚 字符"/>
    <w:basedOn w:val="5"/>
    <w:link w:val="3"/>
    <w:qFormat/>
    <w:uiPriority w:val="99"/>
    <w:rPr>
      <w:rFonts w:eastAsiaTheme="minorEastAsia"/>
      <w:sz w:val="18"/>
      <w:szCs w:val="18"/>
    </w:rPr>
  </w:style>
  <w:style w:type="character" w:customStyle="1" w:styleId="10">
    <w:name w:val="日期 字符"/>
    <w:basedOn w:val="5"/>
    <w:link w:val="2"/>
    <w:semiHidden/>
    <w:uiPriority w:val="99"/>
    <w:rPr>
      <w:rFonts w:eastAsiaTheme="minorEastAsi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186</Words>
  <Characters>1065</Characters>
  <Lines>8</Lines>
  <Paragraphs>2</Paragraphs>
  <TotalTime>0</TotalTime>
  <ScaleCrop>false</ScaleCrop>
  <LinksUpToDate>false</LinksUpToDate>
  <CharactersWithSpaces>1249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2020-03-10T20:24:00Z</dcterms:created>
  <dc:creator>Windows User</dc:creator>
  <cp:lastModifiedBy>cassiezhangkk</cp:lastModifiedBy>
  <dcterms:modified xsi:type="dcterms:W3CDTF">2020-04-01T03:20:23Z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