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E5" w:rsidRDefault="006C6EF4">
      <w:pPr>
        <w:jc w:val="center"/>
        <w:rPr>
          <w:rFonts w:ascii="Times New Roman" w:eastAsia="黑体" w:hAnsi="Times New Roman" w:cs="Times New Roman"/>
          <w:b/>
          <w:bCs/>
          <w:color w:val="000000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sz w:val="30"/>
          <w:szCs w:val="30"/>
        </w:rPr>
        <w:t>B</w:t>
      </w:r>
      <w:r>
        <w:rPr>
          <w:rFonts w:ascii="Times New Roman" w:eastAsia="黑体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黑体" w:hAnsi="Times New Roman" w:cs="Times New Roman"/>
          <w:b/>
          <w:sz w:val="30"/>
          <w:szCs w:val="30"/>
        </w:rPr>
        <w:t>题</w:t>
      </w:r>
      <w:r>
        <w:rPr>
          <w:rFonts w:ascii="Times New Roman" w:eastAsia="黑体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黑体" w:hAnsi="Times New Roman" w:cs="Times New Roman" w:hint="eastAsia"/>
          <w:b/>
          <w:sz w:val="30"/>
          <w:szCs w:val="30"/>
        </w:rPr>
        <w:t>从</w:t>
      </w:r>
      <w:r>
        <w:rPr>
          <w:rFonts w:ascii="Times New Roman" w:eastAsia="黑体" w:hAnsi="Times New Roman" w:cs="Times New Roman"/>
          <w:b/>
          <w:sz w:val="30"/>
          <w:szCs w:val="30"/>
        </w:rPr>
        <w:t>原油宝事件看疫情对</w:t>
      </w:r>
      <w:r>
        <w:rPr>
          <w:rFonts w:ascii="Times New Roman" w:eastAsia="黑体" w:hAnsi="Times New Roman" w:cs="Times New Roman" w:hint="eastAsia"/>
          <w:b/>
          <w:bCs/>
          <w:color w:val="000000"/>
          <w:kern w:val="0"/>
          <w:sz w:val="30"/>
          <w:szCs w:val="30"/>
        </w:rPr>
        <w:t>原油的</w:t>
      </w:r>
      <w:r>
        <w:rPr>
          <w:rFonts w:ascii="Times New Roman" w:eastAsia="黑体" w:hAnsi="Times New Roman" w:cs="Times New Roman"/>
          <w:b/>
          <w:bCs/>
          <w:color w:val="000000"/>
          <w:kern w:val="0"/>
          <w:sz w:val="30"/>
          <w:szCs w:val="30"/>
        </w:rPr>
        <w:t>影响</w:t>
      </w:r>
    </w:p>
    <w:p w:rsidR="002C61E5" w:rsidRDefault="006C6EF4">
      <w:pPr>
        <w:spacing w:line="360" w:lineRule="auto"/>
        <w:ind w:firstLineChars="200" w:firstLine="480"/>
        <w:rPr>
          <w:rStyle w:val="ref"/>
          <w:rFonts w:ascii="宋体" w:eastAsia="宋体" w:hAnsi="宋体" w:cs="宋体"/>
          <w:sz w:val="24"/>
          <w:szCs w:val="24"/>
          <w:shd w:val="clear" w:color="auto" w:fill="FFFFFF"/>
        </w:rPr>
      </w:pPr>
      <w:r>
        <w:rPr>
          <w:rStyle w:val="ref"/>
          <w:rFonts w:ascii="宋体" w:eastAsia="宋体" w:hAnsi="宋体" w:cs="宋体" w:hint="eastAsia"/>
          <w:sz w:val="24"/>
          <w:szCs w:val="24"/>
          <w:shd w:val="clear" w:color="auto" w:fill="FFFFFF"/>
        </w:rPr>
        <w:t>2020年，美国时间4月20日，美国WTI原油期货5月合约跌出史上第一个负数结算价-37.63美元，这是有原油期货以来的第一次，是很多人始料未及的事件。负数价格是什么意思呢？意味着如果你手里有100桶原油，现在打算把这100桶原油卖掉，你还支付给买家每桶原油37.63元，而对于买家来说，他不仅不花一分钱得到了100桶原油，还得到了3763美元。这是疫情期间全球原油市场剧烈动荡下的极端表现，使得很多抄底客户蒙受了很大的损失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，</w:t>
      </w:r>
      <w:r>
        <w:rPr>
          <w:rStyle w:val="ref"/>
          <w:rFonts w:ascii="宋体" w:eastAsia="宋体" w:hAnsi="宋体" w:cs="宋体" w:hint="eastAsia"/>
          <w:sz w:val="24"/>
          <w:szCs w:val="24"/>
          <w:shd w:val="clear" w:color="auto" w:fill="FFFFFF"/>
        </w:rPr>
        <w:t>由此触发网上盛极一时的“</w:t>
      </w:r>
      <w:hyperlink r:id="rId9" w:tgtFrame="_blank" w:history="1">
        <w:r>
          <w:rPr>
            <w:rStyle w:val="ref"/>
            <w:rFonts w:ascii="宋体" w:eastAsia="宋体" w:hAnsi="宋体" w:cs="宋体" w:hint="eastAsia"/>
            <w:sz w:val="24"/>
            <w:szCs w:val="24"/>
          </w:rPr>
          <w:t>原油宝</w:t>
        </w:r>
      </w:hyperlink>
      <w:r>
        <w:rPr>
          <w:rStyle w:val="ref"/>
          <w:rFonts w:ascii="宋体" w:eastAsia="宋体" w:hAnsi="宋体" w:cs="宋体" w:hint="eastAsia"/>
          <w:sz w:val="24"/>
          <w:szCs w:val="24"/>
          <w:shd w:val="clear" w:color="auto" w:fill="FFFFFF"/>
        </w:rPr>
        <w:t>”事件。</w:t>
      </w:r>
    </w:p>
    <w:p w:rsidR="002C61E5" w:rsidRDefault="006C6EF4">
      <w:pPr>
        <w:spacing w:line="360" w:lineRule="auto"/>
        <w:ind w:firstLineChars="200" w:firstLine="480"/>
        <w:rPr>
          <w:rStyle w:val="ref"/>
          <w:rFonts w:ascii="宋体" w:eastAsia="宋体" w:hAnsi="宋体" w:cs="宋体"/>
          <w:sz w:val="24"/>
          <w:szCs w:val="24"/>
          <w:shd w:val="clear" w:color="auto" w:fill="FFFFFF"/>
        </w:rPr>
      </w:pPr>
      <w:r>
        <w:rPr>
          <w:rStyle w:val="ref"/>
          <w:rFonts w:ascii="宋体" w:eastAsia="宋体" w:hAnsi="宋体" w:cs="宋体" w:hint="eastAsia"/>
          <w:sz w:val="24"/>
          <w:szCs w:val="24"/>
        </w:rPr>
        <w:t>习惯上把未经加工处理的石油称为原油。一种黑褐色并带有绿色荧光，具有特殊气味的粘稠性油状液体。是烷烃、环烷烃、 芳香烃和烯烃等多种液态烃的混合物。</w:t>
      </w:r>
      <w:r>
        <w:rPr>
          <w:rStyle w:val="ref"/>
          <w:rFonts w:ascii="宋体" w:eastAsia="宋体" w:hAnsi="宋体" w:cs="宋体" w:hint="eastAsia"/>
          <w:sz w:val="24"/>
          <w:szCs w:val="24"/>
          <w:shd w:val="clear" w:color="auto" w:fill="FFFFFF"/>
        </w:rPr>
        <w:t>原油产品可分为石油燃料、</w:t>
      </w:r>
      <w:hyperlink r:id="rId10" w:tgtFrame="_blank" w:history="1">
        <w:r>
          <w:rPr>
            <w:rStyle w:val="ref"/>
            <w:rFonts w:ascii="宋体" w:eastAsia="宋体" w:hAnsi="宋体" w:cs="宋体" w:hint="eastAsia"/>
            <w:sz w:val="24"/>
            <w:szCs w:val="24"/>
            <w:shd w:val="clear" w:color="auto" w:fill="FFFFFF"/>
          </w:rPr>
          <w:t>石油溶剂</w:t>
        </w:r>
      </w:hyperlink>
      <w:r>
        <w:rPr>
          <w:rStyle w:val="ref"/>
          <w:rFonts w:ascii="宋体" w:eastAsia="宋体" w:hAnsi="宋体" w:cs="宋体" w:hint="eastAsia"/>
          <w:sz w:val="24"/>
          <w:szCs w:val="24"/>
          <w:shd w:val="clear" w:color="auto" w:fill="FFFFFF"/>
        </w:rPr>
        <w:t>与化工原料、</w:t>
      </w:r>
      <w:hyperlink r:id="rId11" w:tgtFrame="_blank" w:history="1">
        <w:r>
          <w:rPr>
            <w:rStyle w:val="ref"/>
            <w:rFonts w:ascii="宋体" w:eastAsia="宋体" w:hAnsi="宋体" w:cs="宋体" w:hint="eastAsia"/>
            <w:sz w:val="24"/>
            <w:szCs w:val="24"/>
            <w:shd w:val="clear" w:color="auto" w:fill="FFFFFF"/>
          </w:rPr>
          <w:t>润滑剂</w:t>
        </w:r>
      </w:hyperlink>
      <w:r>
        <w:rPr>
          <w:rStyle w:val="ref"/>
          <w:rFonts w:ascii="宋体" w:eastAsia="宋体" w:hAnsi="宋体" w:cs="宋体" w:hint="eastAsia"/>
          <w:sz w:val="24"/>
          <w:szCs w:val="24"/>
          <w:shd w:val="clear" w:color="auto" w:fill="FFFFFF"/>
        </w:rPr>
        <w:t>、石蜡、</w:t>
      </w:r>
      <w:hyperlink r:id="rId12" w:tgtFrame="_blank" w:history="1">
        <w:r>
          <w:rPr>
            <w:rStyle w:val="ref"/>
            <w:rFonts w:ascii="宋体" w:eastAsia="宋体" w:hAnsi="宋体" w:cs="宋体" w:hint="eastAsia"/>
            <w:sz w:val="24"/>
            <w:szCs w:val="24"/>
            <w:shd w:val="clear" w:color="auto" w:fill="FFFFFF"/>
          </w:rPr>
          <w:t>石油沥青</w:t>
        </w:r>
      </w:hyperlink>
      <w:r>
        <w:rPr>
          <w:rStyle w:val="ref"/>
          <w:rFonts w:ascii="宋体" w:eastAsia="宋体" w:hAnsi="宋体" w:cs="宋体" w:hint="eastAsia"/>
          <w:sz w:val="24"/>
          <w:szCs w:val="24"/>
          <w:shd w:val="clear" w:color="auto" w:fill="FFFFFF"/>
        </w:rPr>
        <w:t>、石油焦等6类。 其中，各种燃料产量最大，接近总产量的90%；各种品种最多，产量约占5%。原油产品在社会经济发展中具有非常广泛的作用与功能。</w:t>
      </w:r>
    </w:p>
    <w:p w:rsidR="002C61E5" w:rsidRDefault="006C6EF4">
      <w:pPr>
        <w:spacing w:line="360" w:lineRule="auto"/>
        <w:ind w:firstLineChars="200" w:firstLine="480"/>
        <w:rPr>
          <w:rStyle w:val="ref"/>
          <w:rFonts w:ascii="宋体" w:eastAsia="宋体" w:hAnsi="宋体" w:cs="宋体"/>
          <w:sz w:val="24"/>
          <w:szCs w:val="24"/>
        </w:rPr>
      </w:pPr>
      <w:r>
        <w:rPr>
          <w:rStyle w:val="ref"/>
          <w:rFonts w:ascii="宋体" w:eastAsia="宋体" w:hAnsi="宋体" w:cs="宋体" w:hint="eastAsia"/>
          <w:sz w:val="24"/>
          <w:szCs w:val="24"/>
          <w:shd w:val="clear" w:color="auto" w:fill="FFFFFF"/>
        </w:rPr>
        <w:t>我国是原油进口量最大的国家，我国进口原油约占总原油消耗量的70%多，因此国内原油期货价格一直受国际市场原油价格的影响。在国际上最重要的两个原油期货就是纽约商品交易所的</w:t>
      </w:r>
      <w:r>
        <w:rPr>
          <w:rStyle w:val="ref"/>
          <w:rFonts w:ascii="宋体" w:eastAsia="宋体" w:hAnsi="宋体" w:cs="宋体" w:hint="eastAsia"/>
          <w:sz w:val="24"/>
          <w:szCs w:val="24"/>
        </w:rPr>
        <w:t>西德克萨斯轻质油（WTI）期货合约和伦敦国际石油交易所的布伦特原油（Brent）期货合约，国内原油期货是上海国际能源交易所的原油期货合约；附件数据是这三交易所的原油期货主力合约价格数据，也可自查数据。</w:t>
      </w:r>
    </w:p>
    <w:p w:rsidR="002C61E5" w:rsidRDefault="006C6EF4">
      <w:pPr>
        <w:pStyle w:val="aa"/>
        <w:numPr>
          <w:ilvl w:val="0"/>
          <w:numId w:val="1"/>
        </w:numPr>
        <w:spacing w:line="360" w:lineRule="auto"/>
        <w:ind w:firstLineChars="0"/>
        <w:rPr>
          <w:rStyle w:val="ref"/>
          <w:rFonts w:ascii="宋体" w:eastAsia="宋体" w:hAnsi="宋体" w:cs="宋体"/>
          <w:sz w:val="24"/>
          <w:szCs w:val="24"/>
          <w:shd w:val="clear" w:color="auto" w:fill="FFFFFF"/>
        </w:rPr>
      </w:pPr>
      <w:proofErr w:type="gramStart"/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请建立</w:t>
      </w:r>
      <w:proofErr w:type="gramEnd"/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数学模型，通过量化分析的方法，给出</w:t>
      </w:r>
      <w:r>
        <w:rPr>
          <w:rStyle w:val="ref"/>
          <w:rFonts w:ascii="宋体" w:eastAsia="宋体" w:hAnsi="宋体" w:cs="宋体" w:hint="eastAsia"/>
          <w:sz w:val="24"/>
          <w:szCs w:val="24"/>
          <w:shd w:val="clear" w:color="auto" w:fill="FFFFFF"/>
        </w:rPr>
        <w:t>美国WTI原油期货5月合约结算价会跌到-37.6美元的原因</w:t>
      </w:r>
      <w:r w:rsidR="00A7562A">
        <w:rPr>
          <w:rStyle w:val="ref"/>
          <w:rFonts w:ascii="宋体" w:eastAsia="宋体" w:hAnsi="宋体" w:cs="宋体" w:hint="eastAsia"/>
          <w:sz w:val="24"/>
          <w:szCs w:val="24"/>
          <w:shd w:val="clear" w:color="auto" w:fill="FFFFFF"/>
        </w:rPr>
        <w:t>，并</w:t>
      </w:r>
      <w:r w:rsidR="00A7562A">
        <w:rPr>
          <w:rStyle w:val="ref"/>
          <w:rFonts w:ascii="宋体" w:eastAsia="宋体" w:hAnsi="宋体" w:cs="宋体"/>
          <w:sz w:val="24"/>
          <w:szCs w:val="24"/>
          <w:shd w:val="clear" w:color="auto" w:fill="FFFFFF"/>
        </w:rPr>
        <w:t>说明为什么布伦特</w:t>
      </w:r>
      <w:r w:rsidR="00A7562A">
        <w:rPr>
          <w:rStyle w:val="ref"/>
          <w:rFonts w:ascii="宋体" w:eastAsia="宋体" w:hAnsi="宋体" w:cs="宋体" w:hint="eastAsia"/>
          <w:sz w:val="24"/>
          <w:szCs w:val="24"/>
          <w:shd w:val="clear" w:color="auto" w:fill="FFFFFF"/>
        </w:rPr>
        <w:t>原油</w:t>
      </w:r>
      <w:r w:rsidR="00A7562A">
        <w:rPr>
          <w:rStyle w:val="ref"/>
          <w:rFonts w:ascii="宋体" w:eastAsia="宋体" w:hAnsi="宋体" w:cs="宋体"/>
          <w:sz w:val="24"/>
          <w:szCs w:val="24"/>
          <w:shd w:val="clear" w:color="auto" w:fill="FFFFFF"/>
        </w:rPr>
        <w:t>期货和上海原油期货并没有跌到负价格</w:t>
      </w:r>
      <w:r>
        <w:rPr>
          <w:rStyle w:val="ref"/>
          <w:rFonts w:ascii="宋体" w:eastAsia="宋体" w:hAnsi="宋体" w:cs="宋体" w:hint="eastAsia"/>
          <w:sz w:val="24"/>
          <w:szCs w:val="24"/>
          <w:shd w:val="clear" w:color="auto" w:fill="FFFFFF"/>
        </w:rPr>
        <w:t>。</w:t>
      </w:r>
    </w:p>
    <w:p w:rsidR="002C61E5" w:rsidRDefault="006C6EF4">
      <w:pPr>
        <w:pStyle w:val="aa"/>
        <w:numPr>
          <w:ilvl w:val="0"/>
          <w:numId w:val="1"/>
        </w:numPr>
        <w:spacing w:line="360" w:lineRule="auto"/>
        <w:ind w:firstLineChars="0"/>
        <w:rPr>
          <w:rStyle w:val="ref"/>
          <w:rFonts w:ascii="Arial" w:hAnsi="Arial" w:cs="Arial"/>
          <w:szCs w:val="21"/>
          <w:shd w:val="clear" w:color="auto" w:fill="FFFFFF"/>
        </w:rPr>
      </w:pPr>
      <w:r>
        <w:rPr>
          <w:rStyle w:val="ref"/>
          <w:rFonts w:ascii="宋体" w:eastAsia="宋体" w:hAnsi="宋体" w:cs="宋体" w:hint="eastAsia"/>
          <w:sz w:val="24"/>
          <w:szCs w:val="24"/>
          <w:shd w:val="clear" w:color="auto" w:fill="FFFFFF"/>
        </w:rPr>
        <w:t>结合当前疫情，建立数学</w:t>
      </w:r>
      <w:bookmarkStart w:id="0" w:name="_GoBack"/>
      <w:bookmarkEnd w:id="0"/>
      <w:r>
        <w:rPr>
          <w:rStyle w:val="ref"/>
          <w:rFonts w:ascii="宋体" w:eastAsia="宋体" w:hAnsi="宋体" w:cs="宋体" w:hint="eastAsia"/>
          <w:sz w:val="24"/>
          <w:szCs w:val="24"/>
          <w:shd w:val="clear" w:color="auto" w:fill="FFFFFF"/>
        </w:rPr>
        <w:t>模型，预测未来一年</w:t>
      </w:r>
      <w:r w:rsidR="00A7562A">
        <w:rPr>
          <w:rStyle w:val="ref"/>
          <w:rFonts w:ascii="宋体" w:eastAsia="宋体" w:hAnsi="宋体" w:cs="宋体" w:hint="eastAsia"/>
          <w:sz w:val="24"/>
          <w:szCs w:val="24"/>
          <w:shd w:val="clear" w:color="auto" w:fill="FFFFFF"/>
        </w:rPr>
        <w:t>我国</w:t>
      </w:r>
      <w:r>
        <w:rPr>
          <w:rStyle w:val="ref"/>
          <w:rFonts w:ascii="宋体" w:eastAsia="宋体" w:hAnsi="宋体" w:cs="宋体" w:hint="eastAsia"/>
          <w:sz w:val="24"/>
          <w:szCs w:val="24"/>
          <w:shd w:val="clear" w:color="auto" w:fill="FFFFFF"/>
        </w:rPr>
        <w:t>原油期货的价格走势，并给出每个季末原油期货主力合约价格预测结果。</w:t>
      </w:r>
    </w:p>
    <w:p w:rsidR="002C61E5" w:rsidRDefault="006C6EF4">
      <w:pPr>
        <w:pStyle w:val="aa"/>
        <w:spacing w:line="360" w:lineRule="auto"/>
        <w:ind w:firstLineChars="0" w:firstLine="0"/>
        <w:rPr>
          <w:rStyle w:val="ref"/>
          <w:rFonts w:ascii="Arial" w:eastAsia="宋体" w:hAnsi="Arial" w:cs="Arial"/>
          <w:szCs w:val="21"/>
          <w:shd w:val="clear" w:color="auto" w:fill="FFFFFF"/>
        </w:rPr>
      </w:pPr>
      <w:r>
        <w:rPr>
          <w:rStyle w:val="ref"/>
          <w:rFonts w:ascii="宋体" w:eastAsia="宋体" w:hAnsi="宋体" w:cs="宋体" w:hint="eastAsia"/>
          <w:sz w:val="24"/>
          <w:szCs w:val="24"/>
          <w:shd w:val="clear" w:color="auto" w:fill="FFFFFF"/>
        </w:rPr>
        <w:t>附：B</w:t>
      </w:r>
      <w:proofErr w:type="gramStart"/>
      <w:r>
        <w:rPr>
          <w:rStyle w:val="ref"/>
          <w:rFonts w:ascii="宋体" w:eastAsia="宋体" w:hAnsi="宋体" w:cs="宋体" w:hint="eastAsia"/>
          <w:sz w:val="24"/>
          <w:szCs w:val="24"/>
          <w:shd w:val="clear" w:color="auto" w:fill="FFFFFF"/>
        </w:rPr>
        <w:t>题数据</w:t>
      </w:r>
      <w:proofErr w:type="gramEnd"/>
      <w:r w:rsidR="002F3AB9">
        <w:rPr>
          <w:rStyle w:val="ref"/>
          <w:rFonts w:ascii="宋体" w:eastAsia="宋体" w:hAnsi="宋体" w:cs="宋体" w:hint="eastAsia"/>
          <w:sz w:val="24"/>
          <w:szCs w:val="24"/>
          <w:shd w:val="clear" w:color="auto" w:fill="FFFFFF"/>
        </w:rPr>
        <w:t>(</w:t>
      </w:r>
      <w:r w:rsidR="002F3AB9" w:rsidRPr="002F3AB9">
        <w:rPr>
          <w:rStyle w:val="ref"/>
          <w:rFonts w:ascii="宋体" w:eastAsia="宋体" w:hAnsi="宋体" w:cs="宋体" w:hint="eastAsia"/>
          <w:sz w:val="24"/>
          <w:szCs w:val="24"/>
          <w:shd w:val="clear" w:color="auto" w:fill="FFFFFF"/>
        </w:rPr>
        <w:t>布伦特原油期货主力合约数据</w:t>
      </w:r>
      <w:r w:rsidR="002F3AB9">
        <w:rPr>
          <w:rStyle w:val="ref"/>
          <w:rFonts w:ascii="宋体" w:eastAsia="宋体" w:hAnsi="宋体" w:cs="宋体" w:hint="eastAsia"/>
          <w:sz w:val="24"/>
          <w:szCs w:val="24"/>
          <w:shd w:val="clear" w:color="auto" w:fill="FFFFFF"/>
        </w:rPr>
        <w:t>.csv;</w:t>
      </w:r>
      <w:r w:rsidR="002F3AB9" w:rsidRPr="002F3AB9">
        <w:rPr>
          <w:rFonts w:hint="eastAsia"/>
        </w:rPr>
        <w:t xml:space="preserve"> </w:t>
      </w:r>
      <w:r w:rsidR="002F3AB9" w:rsidRPr="002F3AB9">
        <w:rPr>
          <w:rStyle w:val="ref"/>
          <w:rFonts w:ascii="宋体" w:eastAsia="宋体" w:hAnsi="宋体" w:cs="宋体" w:hint="eastAsia"/>
          <w:sz w:val="24"/>
          <w:szCs w:val="24"/>
          <w:shd w:val="clear" w:color="auto" w:fill="FFFFFF"/>
        </w:rPr>
        <w:t>美国西德克萨斯轻质原油（</w:t>
      </w:r>
      <w:proofErr w:type="spellStart"/>
      <w:r w:rsidR="002F3AB9" w:rsidRPr="002F3AB9">
        <w:rPr>
          <w:rStyle w:val="ref"/>
          <w:rFonts w:ascii="宋体" w:eastAsia="宋体" w:hAnsi="宋体" w:cs="宋体" w:hint="eastAsia"/>
          <w:sz w:val="24"/>
          <w:szCs w:val="24"/>
          <w:shd w:val="clear" w:color="auto" w:fill="FFFFFF"/>
        </w:rPr>
        <w:t>wti</w:t>
      </w:r>
      <w:proofErr w:type="spellEnd"/>
      <w:r w:rsidR="002F3AB9" w:rsidRPr="002F3AB9">
        <w:rPr>
          <w:rStyle w:val="ref"/>
          <w:rFonts w:ascii="宋体" w:eastAsia="宋体" w:hAnsi="宋体" w:cs="宋体" w:hint="eastAsia"/>
          <w:sz w:val="24"/>
          <w:szCs w:val="24"/>
          <w:shd w:val="clear" w:color="auto" w:fill="FFFFFF"/>
        </w:rPr>
        <w:t>）期货主力合约数据</w:t>
      </w:r>
      <w:r w:rsidR="002F3AB9">
        <w:rPr>
          <w:rStyle w:val="ref"/>
          <w:rFonts w:ascii="宋体" w:eastAsia="宋体" w:hAnsi="宋体" w:cs="宋体" w:hint="eastAsia"/>
          <w:sz w:val="24"/>
          <w:szCs w:val="24"/>
          <w:shd w:val="clear" w:color="auto" w:fill="FFFFFF"/>
        </w:rPr>
        <w:t>.csv;</w:t>
      </w:r>
      <w:r w:rsidR="002F3AB9" w:rsidRPr="002F3AB9">
        <w:rPr>
          <w:rFonts w:hint="eastAsia"/>
        </w:rPr>
        <w:t xml:space="preserve"> </w:t>
      </w:r>
      <w:r w:rsidR="002F3AB9" w:rsidRPr="002F3AB9">
        <w:rPr>
          <w:rStyle w:val="ref"/>
          <w:rFonts w:ascii="宋体" w:eastAsia="宋体" w:hAnsi="宋体" w:cs="宋体" w:hint="eastAsia"/>
          <w:sz w:val="24"/>
          <w:szCs w:val="24"/>
          <w:shd w:val="clear" w:color="auto" w:fill="FFFFFF"/>
        </w:rPr>
        <w:t>上海国际能源交易所原油期货主力合约数据</w:t>
      </w:r>
      <w:r w:rsidR="002F3AB9">
        <w:rPr>
          <w:rStyle w:val="ref"/>
          <w:rFonts w:ascii="宋体" w:eastAsia="宋体" w:hAnsi="宋体" w:cs="宋体" w:hint="eastAsia"/>
          <w:sz w:val="24"/>
          <w:szCs w:val="24"/>
          <w:shd w:val="clear" w:color="auto" w:fill="FFFFFF"/>
        </w:rPr>
        <w:t>.csv)</w:t>
      </w:r>
    </w:p>
    <w:p w:rsidR="002C61E5" w:rsidRDefault="002C61E5">
      <w:pPr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sectPr w:rsidR="002C61E5">
      <w:footerReference w:type="default" r:id="rId13"/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D28" w:rsidRDefault="006C0D28">
      <w:r>
        <w:separator/>
      </w:r>
    </w:p>
  </w:endnote>
  <w:endnote w:type="continuationSeparator" w:id="0">
    <w:p w:rsidR="006C0D28" w:rsidRDefault="006C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5974251"/>
    </w:sdtPr>
    <w:sdtEndPr/>
    <w:sdtContent>
      <w:p w:rsidR="002C61E5" w:rsidRDefault="006C6E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62A" w:rsidRPr="00A7562A">
          <w:rPr>
            <w:noProof/>
            <w:lang w:val="zh-CN"/>
          </w:rPr>
          <w:t>1</w:t>
        </w:r>
        <w:r>
          <w:fldChar w:fldCharType="end"/>
        </w:r>
      </w:p>
    </w:sdtContent>
  </w:sdt>
  <w:p w:rsidR="002C61E5" w:rsidRDefault="002C61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D28" w:rsidRDefault="006C0D28">
      <w:r>
        <w:separator/>
      </w:r>
    </w:p>
  </w:footnote>
  <w:footnote w:type="continuationSeparator" w:id="0">
    <w:p w:rsidR="006C0D28" w:rsidRDefault="006C0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C612F"/>
    <w:multiLevelType w:val="multilevel"/>
    <w:tmpl w:val="19CC612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E8"/>
    <w:rsid w:val="00000D45"/>
    <w:rsid w:val="000103F0"/>
    <w:rsid w:val="00010BCF"/>
    <w:rsid w:val="00016314"/>
    <w:rsid w:val="00024394"/>
    <w:rsid w:val="00024FC8"/>
    <w:rsid w:val="00032797"/>
    <w:rsid w:val="00052361"/>
    <w:rsid w:val="00066F7C"/>
    <w:rsid w:val="000B5252"/>
    <w:rsid w:val="000C07DD"/>
    <w:rsid w:val="000E1A46"/>
    <w:rsid w:val="000F0943"/>
    <w:rsid w:val="000F5666"/>
    <w:rsid w:val="00113027"/>
    <w:rsid w:val="0012564E"/>
    <w:rsid w:val="001576FB"/>
    <w:rsid w:val="00157764"/>
    <w:rsid w:val="001633F2"/>
    <w:rsid w:val="00171FFE"/>
    <w:rsid w:val="0017590D"/>
    <w:rsid w:val="001828C9"/>
    <w:rsid w:val="00185B25"/>
    <w:rsid w:val="001A4792"/>
    <w:rsid w:val="001B5966"/>
    <w:rsid w:val="001C0FB9"/>
    <w:rsid w:val="001C1B90"/>
    <w:rsid w:val="001C6E61"/>
    <w:rsid w:val="001E6B97"/>
    <w:rsid w:val="001F1E2E"/>
    <w:rsid w:val="001F779E"/>
    <w:rsid w:val="002003E7"/>
    <w:rsid w:val="00203B2D"/>
    <w:rsid w:val="00214D7E"/>
    <w:rsid w:val="00233E22"/>
    <w:rsid w:val="00241CB5"/>
    <w:rsid w:val="002455FD"/>
    <w:rsid w:val="00246995"/>
    <w:rsid w:val="002622E8"/>
    <w:rsid w:val="002A6791"/>
    <w:rsid w:val="002C61E5"/>
    <w:rsid w:val="002D6293"/>
    <w:rsid w:val="002E112A"/>
    <w:rsid w:val="002E2167"/>
    <w:rsid w:val="002E6AFB"/>
    <w:rsid w:val="002F3AB9"/>
    <w:rsid w:val="00307754"/>
    <w:rsid w:val="00311582"/>
    <w:rsid w:val="003123B6"/>
    <w:rsid w:val="0032766B"/>
    <w:rsid w:val="00333B1B"/>
    <w:rsid w:val="00346299"/>
    <w:rsid w:val="00370D42"/>
    <w:rsid w:val="003727CF"/>
    <w:rsid w:val="00377361"/>
    <w:rsid w:val="00387408"/>
    <w:rsid w:val="003A09D1"/>
    <w:rsid w:val="003A7BF8"/>
    <w:rsid w:val="003B24DF"/>
    <w:rsid w:val="003B36AE"/>
    <w:rsid w:val="003C05D7"/>
    <w:rsid w:val="003C2501"/>
    <w:rsid w:val="003E11A9"/>
    <w:rsid w:val="00422D6F"/>
    <w:rsid w:val="00436B03"/>
    <w:rsid w:val="004421DC"/>
    <w:rsid w:val="00442669"/>
    <w:rsid w:val="00454F2A"/>
    <w:rsid w:val="00473CC4"/>
    <w:rsid w:val="0048274A"/>
    <w:rsid w:val="00495862"/>
    <w:rsid w:val="004A0C04"/>
    <w:rsid w:val="004C74EA"/>
    <w:rsid w:val="004D29A2"/>
    <w:rsid w:val="004F01E9"/>
    <w:rsid w:val="005163D4"/>
    <w:rsid w:val="005232E3"/>
    <w:rsid w:val="00531C89"/>
    <w:rsid w:val="0054671B"/>
    <w:rsid w:val="0055366F"/>
    <w:rsid w:val="00555696"/>
    <w:rsid w:val="00566C39"/>
    <w:rsid w:val="00567049"/>
    <w:rsid w:val="00583D36"/>
    <w:rsid w:val="005937D0"/>
    <w:rsid w:val="00594315"/>
    <w:rsid w:val="005A0ACE"/>
    <w:rsid w:val="005A71F7"/>
    <w:rsid w:val="005B213F"/>
    <w:rsid w:val="005B3AC2"/>
    <w:rsid w:val="005C33E8"/>
    <w:rsid w:val="005F5D49"/>
    <w:rsid w:val="005F6E63"/>
    <w:rsid w:val="006340BB"/>
    <w:rsid w:val="00635B6D"/>
    <w:rsid w:val="006515F0"/>
    <w:rsid w:val="00682920"/>
    <w:rsid w:val="00686A0C"/>
    <w:rsid w:val="00690A1F"/>
    <w:rsid w:val="0069100D"/>
    <w:rsid w:val="006A5037"/>
    <w:rsid w:val="006B7DF5"/>
    <w:rsid w:val="006C0D28"/>
    <w:rsid w:val="006C6EF4"/>
    <w:rsid w:val="006D4E65"/>
    <w:rsid w:val="006E12A5"/>
    <w:rsid w:val="006E3A87"/>
    <w:rsid w:val="006F384B"/>
    <w:rsid w:val="00734393"/>
    <w:rsid w:val="00740300"/>
    <w:rsid w:val="007425C2"/>
    <w:rsid w:val="00743274"/>
    <w:rsid w:val="00745E10"/>
    <w:rsid w:val="00750880"/>
    <w:rsid w:val="00767677"/>
    <w:rsid w:val="0076794F"/>
    <w:rsid w:val="007705A8"/>
    <w:rsid w:val="007764E6"/>
    <w:rsid w:val="00792D84"/>
    <w:rsid w:val="007A4A48"/>
    <w:rsid w:val="007A4F05"/>
    <w:rsid w:val="007F255D"/>
    <w:rsid w:val="007F7C68"/>
    <w:rsid w:val="008023F5"/>
    <w:rsid w:val="008177FA"/>
    <w:rsid w:val="00820112"/>
    <w:rsid w:val="00830224"/>
    <w:rsid w:val="00843384"/>
    <w:rsid w:val="00853332"/>
    <w:rsid w:val="00863DD3"/>
    <w:rsid w:val="00872D99"/>
    <w:rsid w:val="008902F9"/>
    <w:rsid w:val="008A1CD8"/>
    <w:rsid w:val="008A475B"/>
    <w:rsid w:val="008D612C"/>
    <w:rsid w:val="008F04C5"/>
    <w:rsid w:val="0090706C"/>
    <w:rsid w:val="00916B1D"/>
    <w:rsid w:val="0092197D"/>
    <w:rsid w:val="00921E44"/>
    <w:rsid w:val="00950003"/>
    <w:rsid w:val="00951766"/>
    <w:rsid w:val="009564C5"/>
    <w:rsid w:val="00957E39"/>
    <w:rsid w:val="00960D17"/>
    <w:rsid w:val="00966F46"/>
    <w:rsid w:val="009A7759"/>
    <w:rsid w:val="009B2B2B"/>
    <w:rsid w:val="009C06B5"/>
    <w:rsid w:val="009D0909"/>
    <w:rsid w:val="009D1A32"/>
    <w:rsid w:val="009D2D97"/>
    <w:rsid w:val="009E43C7"/>
    <w:rsid w:val="009E740D"/>
    <w:rsid w:val="009F2B48"/>
    <w:rsid w:val="00A20365"/>
    <w:rsid w:val="00A30749"/>
    <w:rsid w:val="00A56755"/>
    <w:rsid w:val="00A57FA2"/>
    <w:rsid w:val="00A70699"/>
    <w:rsid w:val="00A71699"/>
    <w:rsid w:val="00A7562A"/>
    <w:rsid w:val="00A774FC"/>
    <w:rsid w:val="00A90E2B"/>
    <w:rsid w:val="00A92023"/>
    <w:rsid w:val="00A97BE4"/>
    <w:rsid w:val="00AA4179"/>
    <w:rsid w:val="00AB30E1"/>
    <w:rsid w:val="00AC6C43"/>
    <w:rsid w:val="00AF2DE2"/>
    <w:rsid w:val="00AF56F7"/>
    <w:rsid w:val="00B14E29"/>
    <w:rsid w:val="00B3266E"/>
    <w:rsid w:val="00B35AC6"/>
    <w:rsid w:val="00B35BE0"/>
    <w:rsid w:val="00B41F5B"/>
    <w:rsid w:val="00B44A4C"/>
    <w:rsid w:val="00B46920"/>
    <w:rsid w:val="00B6373B"/>
    <w:rsid w:val="00B6594D"/>
    <w:rsid w:val="00B70396"/>
    <w:rsid w:val="00B777DC"/>
    <w:rsid w:val="00B830CD"/>
    <w:rsid w:val="00B96003"/>
    <w:rsid w:val="00BA01BB"/>
    <w:rsid w:val="00BD71D3"/>
    <w:rsid w:val="00BE63F5"/>
    <w:rsid w:val="00BE7499"/>
    <w:rsid w:val="00BF666D"/>
    <w:rsid w:val="00BF6B84"/>
    <w:rsid w:val="00C0017E"/>
    <w:rsid w:val="00C07095"/>
    <w:rsid w:val="00C143E7"/>
    <w:rsid w:val="00C215D7"/>
    <w:rsid w:val="00C305AF"/>
    <w:rsid w:val="00C45F83"/>
    <w:rsid w:val="00C56679"/>
    <w:rsid w:val="00C620E7"/>
    <w:rsid w:val="00C67091"/>
    <w:rsid w:val="00C75BF4"/>
    <w:rsid w:val="00C75D44"/>
    <w:rsid w:val="00CA0ED3"/>
    <w:rsid w:val="00CC7B56"/>
    <w:rsid w:val="00CD16D6"/>
    <w:rsid w:val="00CE50B9"/>
    <w:rsid w:val="00D01C5A"/>
    <w:rsid w:val="00D056E5"/>
    <w:rsid w:val="00D06183"/>
    <w:rsid w:val="00D35C8D"/>
    <w:rsid w:val="00D63F3C"/>
    <w:rsid w:val="00D73BC9"/>
    <w:rsid w:val="00D81127"/>
    <w:rsid w:val="00D87A0F"/>
    <w:rsid w:val="00D95BF6"/>
    <w:rsid w:val="00DA4A40"/>
    <w:rsid w:val="00DB6AA4"/>
    <w:rsid w:val="00DC15B4"/>
    <w:rsid w:val="00DD0158"/>
    <w:rsid w:val="00DE500F"/>
    <w:rsid w:val="00DF2C0E"/>
    <w:rsid w:val="00DF38C2"/>
    <w:rsid w:val="00E11D68"/>
    <w:rsid w:val="00E1345B"/>
    <w:rsid w:val="00E26A3F"/>
    <w:rsid w:val="00E359EC"/>
    <w:rsid w:val="00E373EE"/>
    <w:rsid w:val="00E425A6"/>
    <w:rsid w:val="00E44DB4"/>
    <w:rsid w:val="00E56569"/>
    <w:rsid w:val="00E64040"/>
    <w:rsid w:val="00E77C8A"/>
    <w:rsid w:val="00E82CE8"/>
    <w:rsid w:val="00E83ACC"/>
    <w:rsid w:val="00E83C87"/>
    <w:rsid w:val="00E943A5"/>
    <w:rsid w:val="00EC1E17"/>
    <w:rsid w:val="00EE3E92"/>
    <w:rsid w:val="00EE755D"/>
    <w:rsid w:val="00EF34E9"/>
    <w:rsid w:val="00F23FDB"/>
    <w:rsid w:val="00F26BBD"/>
    <w:rsid w:val="00F35E3E"/>
    <w:rsid w:val="00F4144E"/>
    <w:rsid w:val="00F51258"/>
    <w:rsid w:val="00F5179D"/>
    <w:rsid w:val="00F60308"/>
    <w:rsid w:val="00F77148"/>
    <w:rsid w:val="00F80A0A"/>
    <w:rsid w:val="00F81262"/>
    <w:rsid w:val="00F93FFE"/>
    <w:rsid w:val="00FA3EC2"/>
    <w:rsid w:val="00FA48C7"/>
    <w:rsid w:val="00FC0067"/>
    <w:rsid w:val="00FD034E"/>
    <w:rsid w:val="00FD2CC2"/>
    <w:rsid w:val="00FE48B7"/>
    <w:rsid w:val="00FE49D8"/>
    <w:rsid w:val="00FF3D9B"/>
    <w:rsid w:val="06F1673B"/>
    <w:rsid w:val="526E1984"/>
    <w:rsid w:val="6668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A09B38-67F8-4968-973A-F3AA1BB2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Placeholder Text"/>
    <w:basedOn w:val="a0"/>
    <w:uiPriority w:val="99"/>
    <w:semiHidden/>
    <w:rPr>
      <w:color w:val="808080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MTDisplayEquation">
    <w:name w:val="MTDisplayEquation"/>
    <w:basedOn w:val="a"/>
    <w:next w:val="a"/>
    <w:link w:val="MTDisplayEquationChar"/>
    <w:qFormat/>
    <w:pPr>
      <w:tabs>
        <w:tab w:val="center" w:pos="4160"/>
        <w:tab w:val="right" w:pos="8300"/>
      </w:tabs>
    </w:pPr>
    <w:rPr>
      <w:rFonts w:ascii="Arial" w:eastAsia="宋体" w:hAnsi="Arial" w:cs="Arial"/>
      <w:color w:val="333333"/>
      <w:kern w:val="0"/>
      <w:szCs w:val="21"/>
    </w:rPr>
  </w:style>
  <w:style w:type="character" w:customStyle="1" w:styleId="MTDisplayEquationChar">
    <w:name w:val="MTDisplayEquation Char"/>
    <w:basedOn w:val="a0"/>
    <w:link w:val="MTDisplayEquation"/>
    <w:qFormat/>
    <w:rPr>
      <w:rFonts w:ascii="Arial" w:eastAsia="宋体" w:hAnsi="Arial" w:cs="Arial"/>
      <w:color w:val="333333"/>
      <w:kern w:val="0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ref">
    <w:name w:val="ref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baike.baidu.com/item/%E7%9F%B3%E6%B2%B9%E6%B2%A5%E9%9D%9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ike.baidu.com/item/%E6%B6%A6%E6%BB%91%E5%89%8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aike.baidu.com/item/%E7%9F%B3%E6%B2%B9%E6%BA%B6%E5%89%82" TargetMode="External"/><Relationship Id="rId4" Type="http://schemas.openxmlformats.org/officeDocument/2006/relationships/styles" Target="styles.xml"/><Relationship Id="rId9" Type="http://schemas.openxmlformats.org/officeDocument/2006/relationships/hyperlink" Target="https://baike.baidu.com/item/%E5%8E%9F%E6%B2%B9%E5%AE%9D/499221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E12510-11C7-4C66-88B8-8D9A40C3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178</Words>
  <Characters>1019</Characters>
  <Application>Microsoft Office Word</Application>
  <DocSecurity>0</DocSecurity>
  <Lines>8</Lines>
  <Paragraphs>2</Paragraphs>
  <ScaleCrop>false</ScaleCrop>
  <Company>微软中国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10</cp:revision>
  <dcterms:created xsi:type="dcterms:W3CDTF">2020-05-18T02:28:00Z</dcterms:created>
  <dcterms:modified xsi:type="dcterms:W3CDTF">2020-05-22T06:33:00Z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2052-11.1.0.9662</vt:lpwstr>
  </property>
</Properties>
</file>